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03E4F" w14:textId="77777777" w:rsidR="00531C1E" w:rsidRPr="00E239E2" w:rsidRDefault="00531C1E" w:rsidP="00531C1E">
      <w:pPr>
        <w:spacing w:after="312"/>
        <w:rPr>
          <w:rFonts w:ascii="Arial" w:eastAsia="Times New Roman" w:hAnsi="Arial" w:cs="Arial"/>
          <w:b/>
          <w:bCs/>
          <w:sz w:val="28"/>
          <w:szCs w:val="28"/>
        </w:rPr>
      </w:pPr>
      <w:r w:rsidRPr="00E239E2">
        <w:rPr>
          <w:rFonts w:ascii="Arial" w:eastAsia="Times New Roman" w:hAnsi="Arial" w:cs="Arial"/>
          <w:b/>
          <w:bCs/>
          <w:sz w:val="28"/>
          <w:szCs w:val="28"/>
        </w:rPr>
        <w:t>Email Content</w:t>
      </w:r>
    </w:p>
    <w:p w14:paraId="682307B5" w14:textId="77777777" w:rsidR="00531C1E" w:rsidRPr="00E239E2" w:rsidRDefault="00531C1E" w:rsidP="00531C1E">
      <w:pPr>
        <w:shd w:val="clear" w:color="auto" w:fill="FFFFFF"/>
        <w:spacing w:after="312"/>
        <w:rPr>
          <w:rFonts w:ascii="Arial" w:eastAsia="Times New Roman" w:hAnsi="Arial" w:cs="Arial"/>
          <w:color w:val="3D3D3D"/>
          <w:sz w:val="26"/>
          <w:szCs w:val="26"/>
        </w:rPr>
      </w:pPr>
      <w:r w:rsidRPr="00E239E2">
        <w:rPr>
          <w:rFonts w:ascii="Arial" w:eastAsia="Times New Roman" w:hAnsi="Arial" w:cs="Arial"/>
          <w:color w:val="3D3D3D"/>
          <w:sz w:val="26"/>
          <w:szCs w:val="26"/>
        </w:rPr>
        <w:t>The conventional approach to designing accumulation-focused Indexed UL strategies involves minimizing the death benefit. Often, this is combined with using the maximum AG49 compliant illustrated rate to squeeze every dollar of projected income out of the product.</w:t>
      </w:r>
    </w:p>
    <w:p w14:paraId="22EB8EA3" w14:textId="77777777" w:rsidR="00531C1E" w:rsidRPr="00E239E2" w:rsidRDefault="00531C1E" w:rsidP="00531C1E">
      <w:pPr>
        <w:shd w:val="clear" w:color="auto" w:fill="FFFFFF"/>
        <w:spacing w:after="312"/>
        <w:rPr>
          <w:rFonts w:ascii="Arial" w:eastAsia="Times New Roman" w:hAnsi="Arial" w:cs="Arial"/>
          <w:color w:val="3D3D3D"/>
          <w:sz w:val="26"/>
          <w:szCs w:val="26"/>
        </w:rPr>
      </w:pPr>
      <w:r w:rsidRPr="00E239E2">
        <w:rPr>
          <w:rFonts w:ascii="Arial" w:eastAsia="Times New Roman" w:hAnsi="Arial" w:cs="Arial"/>
          <w:color w:val="3D3D3D"/>
          <w:sz w:val="26"/>
          <w:szCs w:val="26"/>
        </w:rPr>
        <w:t>While that can produce a compelling illustration, it may not be the most effective approach in the real world. That thought process is often the reason for things like stress testing or reducing the illustrative rate, even if it results in a reduced illustrative income. The truth is there is another, perhaps more meaningful alternative design that can deliver more consumer value from virtually any Indexed UL product.</w:t>
      </w:r>
    </w:p>
    <w:p w14:paraId="41CBBB90" w14:textId="77777777" w:rsidR="00531C1E" w:rsidRPr="00E239E2" w:rsidRDefault="00531C1E" w:rsidP="00531C1E">
      <w:pPr>
        <w:shd w:val="clear" w:color="auto" w:fill="FFFFFF"/>
        <w:spacing w:after="312"/>
        <w:rPr>
          <w:rFonts w:ascii="Arial" w:eastAsia="Times New Roman" w:hAnsi="Arial" w:cs="Arial"/>
          <w:color w:val="3D3D3D"/>
          <w:sz w:val="26"/>
          <w:szCs w:val="26"/>
        </w:rPr>
      </w:pPr>
      <w:r w:rsidRPr="00E239E2">
        <w:rPr>
          <w:rFonts w:ascii="Arial" w:eastAsia="Times New Roman" w:hAnsi="Arial" w:cs="Arial"/>
          <w:color w:val="3D3D3D"/>
          <w:sz w:val="26"/>
          <w:szCs w:val="26"/>
        </w:rPr>
        <w:t>This more balanced approach to case design can deliver:</w:t>
      </w:r>
    </w:p>
    <w:p w14:paraId="3FE74D91" w14:textId="77777777" w:rsidR="00531C1E" w:rsidRPr="00E239E2" w:rsidRDefault="00531C1E" w:rsidP="00531C1E">
      <w:pPr>
        <w:numPr>
          <w:ilvl w:val="0"/>
          <w:numId w:val="2"/>
        </w:numPr>
        <w:shd w:val="clear" w:color="auto" w:fill="FFFFFF"/>
        <w:spacing w:after="150" w:line="306" w:lineRule="atLeast"/>
        <w:ind w:left="1095"/>
        <w:rPr>
          <w:rFonts w:ascii="Arial" w:eastAsia="Times New Roman" w:hAnsi="Arial" w:cs="Arial"/>
          <w:color w:val="3D3D3D"/>
          <w:sz w:val="26"/>
          <w:szCs w:val="26"/>
        </w:rPr>
      </w:pPr>
      <w:r w:rsidRPr="00E239E2">
        <w:rPr>
          <w:rFonts w:ascii="Arial" w:eastAsia="Times New Roman" w:hAnsi="Arial" w:cs="Arial"/>
          <w:color w:val="3D3D3D"/>
          <w:sz w:val="26"/>
          <w:szCs w:val="26"/>
        </w:rPr>
        <w:t>An increased initial face amount, meaning more coverage for the client’s loved ones</w:t>
      </w:r>
    </w:p>
    <w:p w14:paraId="27978DBE" w14:textId="77777777" w:rsidR="00531C1E" w:rsidRPr="00E239E2" w:rsidRDefault="00531C1E" w:rsidP="00531C1E">
      <w:pPr>
        <w:numPr>
          <w:ilvl w:val="0"/>
          <w:numId w:val="2"/>
        </w:numPr>
        <w:shd w:val="clear" w:color="auto" w:fill="FFFFFF"/>
        <w:spacing w:after="150" w:line="306" w:lineRule="atLeast"/>
        <w:ind w:left="1095"/>
        <w:rPr>
          <w:rFonts w:ascii="Arial" w:eastAsia="Times New Roman" w:hAnsi="Arial" w:cs="Arial"/>
          <w:color w:val="3D3D3D"/>
          <w:sz w:val="26"/>
          <w:szCs w:val="26"/>
        </w:rPr>
      </w:pPr>
      <w:r w:rsidRPr="00E239E2">
        <w:rPr>
          <w:rFonts w:ascii="Arial" w:eastAsia="Times New Roman" w:hAnsi="Arial" w:cs="Arial"/>
          <w:color w:val="3D3D3D"/>
          <w:sz w:val="26"/>
          <w:szCs w:val="26"/>
        </w:rPr>
        <w:t>A corresponding increase in the lifetime maximum available under any Accelerated Benefit Riders</w:t>
      </w:r>
    </w:p>
    <w:p w14:paraId="7C25723C" w14:textId="77777777" w:rsidR="00531C1E" w:rsidRPr="00E239E2" w:rsidRDefault="00531C1E" w:rsidP="00531C1E">
      <w:pPr>
        <w:numPr>
          <w:ilvl w:val="0"/>
          <w:numId w:val="2"/>
        </w:numPr>
        <w:shd w:val="clear" w:color="auto" w:fill="FFFFFF"/>
        <w:spacing w:after="150" w:line="306" w:lineRule="atLeast"/>
        <w:ind w:left="1095"/>
        <w:rPr>
          <w:rFonts w:ascii="Arial" w:eastAsia="Times New Roman" w:hAnsi="Arial" w:cs="Arial"/>
          <w:color w:val="3D3D3D"/>
          <w:sz w:val="26"/>
          <w:szCs w:val="26"/>
        </w:rPr>
      </w:pPr>
      <w:r w:rsidRPr="00E239E2">
        <w:rPr>
          <w:rFonts w:ascii="Arial" w:eastAsia="Times New Roman" w:hAnsi="Arial" w:cs="Arial"/>
          <w:color w:val="3D3D3D"/>
          <w:sz w:val="26"/>
          <w:szCs w:val="26"/>
        </w:rPr>
        <w:t>Additional funding capacity that allows the client to increase their contributions to the “Tax-free Bucket” in their retirement plan should their investable cash flow increase</w:t>
      </w:r>
    </w:p>
    <w:p w14:paraId="439C5B30" w14:textId="77777777" w:rsidR="00531C1E" w:rsidRPr="00E239E2" w:rsidRDefault="00531C1E" w:rsidP="00531C1E">
      <w:pPr>
        <w:shd w:val="clear" w:color="auto" w:fill="FFFFFF"/>
        <w:spacing w:after="312"/>
        <w:rPr>
          <w:rFonts w:ascii="Arial" w:eastAsia="Times New Roman" w:hAnsi="Arial" w:cs="Arial"/>
          <w:color w:val="3D3D3D"/>
          <w:sz w:val="26"/>
          <w:szCs w:val="26"/>
        </w:rPr>
      </w:pPr>
      <w:r w:rsidRPr="00E239E2">
        <w:rPr>
          <w:rFonts w:ascii="Arial" w:eastAsia="Times New Roman" w:hAnsi="Arial" w:cs="Arial"/>
          <w:color w:val="3D3D3D"/>
          <w:sz w:val="26"/>
          <w:szCs w:val="26"/>
        </w:rPr>
        <w:t>All without asking the client for another dollar of premium.</w:t>
      </w:r>
    </w:p>
    <w:p w14:paraId="5AD9C732" w14:textId="6381BDD5" w:rsidR="00531C1E" w:rsidRDefault="00531C1E" w:rsidP="00531C1E">
      <w:pPr>
        <w:pBdr>
          <w:bottom w:val="single" w:sz="6" w:space="1" w:color="auto"/>
        </w:pBdr>
        <w:shd w:val="clear" w:color="auto" w:fill="FFFFFF"/>
        <w:spacing w:after="312"/>
        <w:rPr>
          <w:rFonts w:ascii="Arial" w:eastAsia="Times New Roman" w:hAnsi="Arial" w:cs="Arial"/>
          <w:color w:val="3D3D3D"/>
          <w:sz w:val="26"/>
          <w:szCs w:val="26"/>
        </w:rPr>
      </w:pPr>
      <w:r w:rsidRPr="00E239E2">
        <w:rPr>
          <w:rFonts w:ascii="Arial" w:eastAsia="Times New Roman" w:hAnsi="Arial" w:cs="Arial"/>
          <w:color w:val="3D3D3D"/>
          <w:sz w:val="26"/>
          <w:szCs w:val="26"/>
        </w:rPr>
        <w:t>Drop me a note or give me a call if you want to take a closer look at how we’re designing this strategy with other advisors.</w:t>
      </w:r>
    </w:p>
    <w:p w14:paraId="7FE5C410" w14:textId="77777777" w:rsidR="00531C1E" w:rsidRDefault="00531C1E" w:rsidP="00531C1E">
      <w:pPr>
        <w:pBdr>
          <w:bottom w:val="single" w:sz="6" w:space="1" w:color="auto"/>
        </w:pBdr>
        <w:shd w:val="clear" w:color="auto" w:fill="FFFFFF"/>
        <w:spacing w:after="312"/>
        <w:rPr>
          <w:rFonts w:ascii="Arial" w:hAnsi="Arial" w:cs="Arial"/>
        </w:rPr>
      </w:pPr>
    </w:p>
    <w:sectPr w:rsidR="00531C1E"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7860" w14:textId="77777777" w:rsidR="006A65FB" w:rsidRDefault="006A65FB" w:rsidP="00E239E2">
      <w:r>
        <w:separator/>
      </w:r>
    </w:p>
  </w:endnote>
  <w:endnote w:type="continuationSeparator" w:id="0">
    <w:p w14:paraId="6BEF6CBD" w14:textId="77777777" w:rsidR="006A65FB" w:rsidRDefault="006A65FB"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296F2" w14:textId="77777777" w:rsidR="006A65FB" w:rsidRDefault="006A65FB" w:rsidP="00E239E2">
      <w:r>
        <w:separator/>
      </w:r>
    </w:p>
  </w:footnote>
  <w:footnote w:type="continuationSeparator" w:id="0">
    <w:p w14:paraId="0E4F2DD7" w14:textId="77777777" w:rsidR="006A65FB" w:rsidRDefault="006A65FB"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
  </w:num>
  <w:num w:numId="2" w16cid:durableId="45772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1908"/>
    <w:rsid w:val="001D060B"/>
    <w:rsid w:val="00483BC6"/>
    <w:rsid w:val="00531C1E"/>
    <w:rsid w:val="00645220"/>
    <w:rsid w:val="006A65FB"/>
    <w:rsid w:val="00A82741"/>
    <w:rsid w:val="00AD6808"/>
    <w:rsid w:val="00AF254E"/>
    <w:rsid w:val="00C94ACA"/>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2024-10-07T18:29:00Z</dcterms:created>
  <dcterms:modified xsi:type="dcterms:W3CDTF">2024-10-07T18:29:00Z</dcterms:modified>
</cp:coreProperties>
</file>